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AD" w:rsidRPr="000A0D48" w:rsidRDefault="00D677D9">
      <w:pPr>
        <w:rPr>
          <w:b/>
        </w:rPr>
      </w:pPr>
      <w:bookmarkStart w:id="0" w:name="_GoBack"/>
      <w:bookmarkEnd w:id="0"/>
      <w:r w:rsidRPr="000A0D48">
        <w:rPr>
          <w:b/>
        </w:rPr>
        <w:t>Anlage 1: Inhaltliche Gliederung für eine Einstiegsqualifizierung im Bereich „Verwaltung“</w:t>
      </w:r>
    </w:p>
    <w:p w:rsidR="00D677D9" w:rsidRPr="000A1C2B" w:rsidRDefault="00D677D9">
      <w:pPr>
        <w:rPr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4771"/>
        <w:gridCol w:w="3587"/>
        <w:gridCol w:w="3587"/>
      </w:tblGrid>
      <w:tr w:rsidR="000A1C2B" w:rsidRPr="000916EB" w:rsidTr="000916EB">
        <w:tc>
          <w:tcPr>
            <w:tcW w:w="3407" w:type="dxa"/>
          </w:tcPr>
          <w:p w:rsidR="000A1C2B" w:rsidRPr="000916EB" w:rsidRDefault="000A1C2B" w:rsidP="000916EB">
            <w:pPr>
              <w:spacing w:before="60" w:after="60"/>
              <w:rPr>
                <w:b/>
                <w:szCs w:val="24"/>
              </w:rPr>
            </w:pPr>
            <w:r w:rsidRPr="000916EB">
              <w:rPr>
                <w:b/>
                <w:szCs w:val="24"/>
              </w:rPr>
              <w:t>Inhalt</w:t>
            </w:r>
          </w:p>
        </w:tc>
        <w:tc>
          <w:tcPr>
            <w:tcW w:w="4771" w:type="dxa"/>
          </w:tcPr>
          <w:p w:rsidR="000A1C2B" w:rsidRPr="000916EB" w:rsidRDefault="005A0B31" w:rsidP="000916EB">
            <w:pPr>
              <w:spacing w:before="60" w:after="60"/>
              <w:ind w:left="34"/>
              <w:jc w:val="left"/>
              <w:rPr>
                <w:b/>
                <w:szCs w:val="24"/>
              </w:rPr>
            </w:pPr>
            <w:r w:rsidRPr="000916EB">
              <w:rPr>
                <w:b/>
                <w:szCs w:val="24"/>
              </w:rPr>
              <w:t xml:space="preserve">Fähigkeiten, Fertigkeiten </w:t>
            </w:r>
            <w:r w:rsidR="000A1C2B" w:rsidRPr="000916EB">
              <w:rPr>
                <w:b/>
                <w:szCs w:val="24"/>
              </w:rPr>
              <w:t>und Kenntnisse</w:t>
            </w: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60" w:after="60"/>
              <w:ind w:left="34"/>
              <w:rPr>
                <w:b/>
                <w:szCs w:val="24"/>
              </w:rPr>
            </w:pPr>
            <w:r w:rsidRPr="000916EB">
              <w:rPr>
                <w:b/>
                <w:szCs w:val="24"/>
              </w:rPr>
              <w:t>Fachbereich</w:t>
            </w: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60" w:after="60"/>
              <w:ind w:left="34"/>
              <w:rPr>
                <w:b/>
                <w:szCs w:val="24"/>
              </w:rPr>
            </w:pPr>
            <w:r w:rsidRPr="000916EB">
              <w:rPr>
                <w:b/>
                <w:szCs w:val="24"/>
              </w:rPr>
              <w:t>Zeitraum</w:t>
            </w:r>
          </w:p>
        </w:tc>
      </w:tr>
      <w:tr w:rsidR="000A1C2B" w:rsidRPr="000916EB" w:rsidTr="000916EB">
        <w:tc>
          <w:tcPr>
            <w:tcW w:w="3407" w:type="dxa"/>
          </w:tcPr>
          <w:p w:rsidR="000A1C2B" w:rsidRPr="000916EB" w:rsidRDefault="000A1C2B" w:rsidP="000916EB">
            <w:pPr>
              <w:spacing w:before="240" w:after="240"/>
              <w:jc w:val="left"/>
              <w:rPr>
                <w:sz w:val="20"/>
              </w:rPr>
            </w:pPr>
            <w:r w:rsidRPr="000916EB">
              <w:rPr>
                <w:sz w:val="20"/>
              </w:rPr>
              <w:t>Aufbau und Organisation der Behörde</w:t>
            </w:r>
          </w:p>
        </w:tc>
        <w:tc>
          <w:tcPr>
            <w:tcW w:w="4771" w:type="dxa"/>
          </w:tcPr>
          <w:p w:rsidR="000A1C2B" w:rsidRPr="000916EB" w:rsidRDefault="000A1C2B" w:rsidP="000916EB">
            <w:pPr>
              <w:spacing w:before="240" w:after="240"/>
              <w:ind w:left="34"/>
              <w:rPr>
                <w:sz w:val="20"/>
              </w:rPr>
            </w:pPr>
            <w:r w:rsidRPr="000916EB">
              <w:rPr>
                <w:sz w:val="20"/>
              </w:rPr>
              <w:t>- Aufbau und Aufgaben der Behörde erläutern</w:t>
            </w: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 w:after="240"/>
              <w:ind w:left="34"/>
              <w:rPr>
                <w:sz w:val="20"/>
              </w:rPr>
            </w:pP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 w:after="240"/>
              <w:ind w:left="34"/>
              <w:rPr>
                <w:sz w:val="20"/>
              </w:rPr>
            </w:pPr>
          </w:p>
        </w:tc>
      </w:tr>
      <w:tr w:rsidR="000A1C2B" w:rsidRPr="000916EB" w:rsidTr="000916EB">
        <w:tc>
          <w:tcPr>
            <w:tcW w:w="3407" w:type="dxa"/>
          </w:tcPr>
          <w:p w:rsidR="000A1C2B" w:rsidRPr="000916EB" w:rsidRDefault="000A1C2B" w:rsidP="000916EB">
            <w:pPr>
              <w:spacing w:before="240" w:after="240"/>
              <w:jc w:val="left"/>
              <w:rPr>
                <w:sz w:val="20"/>
              </w:rPr>
            </w:pPr>
            <w:r w:rsidRPr="000916EB">
              <w:rPr>
                <w:sz w:val="20"/>
              </w:rPr>
              <w:t>Berufsbildung</w:t>
            </w:r>
          </w:p>
        </w:tc>
        <w:tc>
          <w:tcPr>
            <w:tcW w:w="4771" w:type="dxa"/>
          </w:tcPr>
          <w:p w:rsidR="000A1C2B" w:rsidRPr="000916EB" w:rsidRDefault="000A1C2B" w:rsidP="000916EB">
            <w:pPr>
              <w:spacing w:before="240" w:after="240"/>
              <w:ind w:left="176" w:hanging="176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Bedeutung des Praktikumsvertrages, insbesondere Abschluss, Dauer und Beendigung erklären, gegenseitige Rechte und Pflichten aus dem Praktikumsvertrag nennen</w:t>
            </w: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 w:after="240"/>
              <w:ind w:left="176" w:hanging="176"/>
              <w:jc w:val="left"/>
              <w:rPr>
                <w:sz w:val="20"/>
              </w:rPr>
            </w:pP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 w:after="240"/>
              <w:ind w:left="176" w:hanging="176"/>
              <w:jc w:val="left"/>
              <w:rPr>
                <w:sz w:val="20"/>
              </w:rPr>
            </w:pPr>
          </w:p>
        </w:tc>
      </w:tr>
      <w:tr w:rsidR="000A1C2B" w:rsidRPr="000916EB" w:rsidTr="000916EB">
        <w:tc>
          <w:tcPr>
            <w:tcW w:w="3407" w:type="dxa"/>
          </w:tcPr>
          <w:p w:rsidR="000A1C2B" w:rsidRPr="000916EB" w:rsidRDefault="000A1C2B" w:rsidP="000916EB">
            <w:pPr>
              <w:spacing w:before="240" w:after="240"/>
              <w:jc w:val="left"/>
              <w:rPr>
                <w:sz w:val="20"/>
              </w:rPr>
            </w:pPr>
            <w:r w:rsidRPr="000916EB">
              <w:rPr>
                <w:sz w:val="20"/>
              </w:rPr>
              <w:t>Persönliche und soziale Kompetenzen</w:t>
            </w:r>
          </w:p>
        </w:tc>
        <w:tc>
          <w:tcPr>
            <w:tcW w:w="4771" w:type="dxa"/>
          </w:tcPr>
          <w:p w:rsidR="000A1C2B" w:rsidRPr="000916EB" w:rsidRDefault="000A1C2B" w:rsidP="000916EB">
            <w:pPr>
              <w:spacing w:before="240" w:after="240"/>
              <w:ind w:left="175" w:hanging="175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Bedeutung von Werten, Tugenden und Umgangsformen (z. B. Zuverlässigkeit, Erscheinungsbild, Teamfähigkeit, Konfliktfähigkeit, Toleranz) in der Gesellschaft und im Arbeitsleben erkennen und einschätzen</w:t>
            </w: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 w:after="240"/>
              <w:ind w:left="175" w:hanging="175"/>
              <w:jc w:val="left"/>
              <w:rPr>
                <w:sz w:val="20"/>
              </w:rPr>
            </w:pP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 w:after="240"/>
              <w:ind w:left="175" w:hanging="175"/>
              <w:jc w:val="left"/>
              <w:rPr>
                <w:sz w:val="20"/>
              </w:rPr>
            </w:pPr>
          </w:p>
        </w:tc>
      </w:tr>
      <w:tr w:rsidR="000A1C2B" w:rsidRPr="000916EB" w:rsidTr="000916EB">
        <w:tc>
          <w:tcPr>
            <w:tcW w:w="3407" w:type="dxa"/>
          </w:tcPr>
          <w:p w:rsidR="000A1C2B" w:rsidRPr="000916EB" w:rsidRDefault="000A1C2B" w:rsidP="000916EB">
            <w:pPr>
              <w:spacing w:before="240" w:after="240"/>
              <w:jc w:val="left"/>
              <w:rPr>
                <w:sz w:val="20"/>
              </w:rPr>
            </w:pPr>
            <w:r w:rsidRPr="000916EB">
              <w:rPr>
                <w:sz w:val="20"/>
              </w:rPr>
              <w:t>Organisation des Arbeitsplatzes</w:t>
            </w:r>
          </w:p>
        </w:tc>
        <w:tc>
          <w:tcPr>
            <w:tcW w:w="4771" w:type="dxa"/>
          </w:tcPr>
          <w:p w:rsidR="000A1C2B" w:rsidRPr="000916EB" w:rsidRDefault="000A1C2B" w:rsidP="000916EB">
            <w:pPr>
              <w:spacing w:before="240" w:after="240"/>
              <w:ind w:left="175" w:hanging="175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Den eigenen Arbeitsplatz unter Berücksichtigung ergonomischer Grundsätze und wichtiger Vorschriften für Büroarbeitsplätze sachgerecht gestalten</w:t>
            </w: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 w:after="240"/>
              <w:ind w:left="175" w:hanging="175"/>
              <w:jc w:val="left"/>
              <w:rPr>
                <w:sz w:val="20"/>
              </w:rPr>
            </w:pP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 w:after="240"/>
              <w:ind w:left="175" w:hanging="175"/>
              <w:jc w:val="left"/>
              <w:rPr>
                <w:sz w:val="20"/>
              </w:rPr>
            </w:pPr>
          </w:p>
        </w:tc>
      </w:tr>
      <w:tr w:rsidR="000A1C2B" w:rsidRPr="000916EB" w:rsidTr="000916EB">
        <w:tc>
          <w:tcPr>
            <w:tcW w:w="3407" w:type="dxa"/>
          </w:tcPr>
          <w:p w:rsidR="000A1C2B" w:rsidRPr="000916EB" w:rsidRDefault="000A1C2B" w:rsidP="000916EB">
            <w:pPr>
              <w:spacing w:before="240" w:after="240"/>
              <w:jc w:val="left"/>
              <w:rPr>
                <w:sz w:val="20"/>
              </w:rPr>
            </w:pPr>
            <w:r w:rsidRPr="000916EB">
              <w:rPr>
                <w:sz w:val="20"/>
              </w:rPr>
              <w:t>Arbeits- und Organisationsmittel</w:t>
            </w:r>
          </w:p>
        </w:tc>
        <w:tc>
          <w:tcPr>
            <w:tcW w:w="4771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Behördliche Arbeits- und Organisationsmittel, insbesondere Büromaschinen, Vordrucke und Vervielfältigungsgeräte, fachgerecht handhaben</w:t>
            </w:r>
          </w:p>
          <w:p w:rsidR="000A1C2B" w:rsidRPr="000916EB" w:rsidRDefault="000A1C2B" w:rsidP="000916EB">
            <w:pPr>
              <w:spacing w:before="120" w:after="24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Arbeits- und Organisationsmittel wirtschaftlich und ökologisch einsetzen</w:t>
            </w: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</w:p>
        </w:tc>
      </w:tr>
      <w:tr w:rsidR="000A1C2B" w:rsidRPr="000916EB" w:rsidTr="000916EB">
        <w:tc>
          <w:tcPr>
            <w:tcW w:w="3407" w:type="dxa"/>
          </w:tcPr>
          <w:p w:rsidR="000A1C2B" w:rsidRPr="000916EB" w:rsidRDefault="000A1C2B" w:rsidP="000916EB">
            <w:pPr>
              <w:spacing w:before="240" w:after="240"/>
              <w:jc w:val="left"/>
              <w:rPr>
                <w:sz w:val="20"/>
              </w:rPr>
            </w:pPr>
            <w:r w:rsidRPr="000916EB">
              <w:rPr>
                <w:sz w:val="20"/>
              </w:rPr>
              <w:lastRenderedPageBreak/>
              <w:t>Bürowirtschaftliche Abläufe</w:t>
            </w:r>
          </w:p>
        </w:tc>
        <w:tc>
          <w:tcPr>
            <w:tcW w:w="4771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Büromaterial verwalten</w:t>
            </w:r>
          </w:p>
          <w:p w:rsidR="000A1C2B" w:rsidRPr="000916EB" w:rsidRDefault="000A1C2B" w:rsidP="000916EB">
            <w:pPr>
              <w:spacing w:before="12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Posteingang bearbeiten, Postverteilung durchführen und Postausgang kostenbewusst bearbeiten</w:t>
            </w:r>
          </w:p>
          <w:p w:rsidR="000A1C2B" w:rsidRPr="000916EB" w:rsidRDefault="000A1C2B" w:rsidP="000916EB">
            <w:pPr>
              <w:spacing w:before="12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Registraturarbeiten</w:t>
            </w:r>
          </w:p>
          <w:p w:rsidR="000A1C2B" w:rsidRPr="000916EB" w:rsidRDefault="000A1C2B" w:rsidP="000916EB">
            <w:pPr>
              <w:spacing w:before="12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Dateien und Karteien führen</w:t>
            </w:r>
          </w:p>
          <w:p w:rsidR="000A1C2B" w:rsidRPr="000916EB" w:rsidRDefault="000A1C2B" w:rsidP="000916EB">
            <w:pPr>
              <w:spacing w:before="120" w:after="24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Termine planen und überwachen</w:t>
            </w: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</w:p>
        </w:tc>
      </w:tr>
      <w:tr w:rsidR="000A1C2B" w:rsidRPr="000916EB" w:rsidTr="000916EB">
        <w:tc>
          <w:tcPr>
            <w:tcW w:w="3407" w:type="dxa"/>
          </w:tcPr>
          <w:p w:rsidR="000A1C2B" w:rsidRPr="000916EB" w:rsidRDefault="000A1C2B" w:rsidP="000916EB">
            <w:pPr>
              <w:spacing w:before="240" w:after="240"/>
              <w:jc w:val="left"/>
              <w:rPr>
                <w:sz w:val="20"/>
              </w:rPr>
            </w:pPr>
            <w:r w:rsidRPr="000916EB">
              <w:rPr>
                <w:sz w:val="20"/>
              </w:rPr>
              <w:t>Textverarbeitung</w:t>
            </w:r>
          </w:p>
        </w:tc>
        <w:tc>
          <w:tcPr>
            <w:tcW w:w="4771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Textverarbeitungsgeräte systemgerecht handhaben</w:t>
            </w:r>
          </w:p>
          <w:p w:rsidR="000A1C2B" w:rsidRPr="000916EB" w:rsidRDefault="000A1C2B" w:rsidP="000916EB">
            <w:pPr>
              <w:spacing w:before="12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Grundlagen des Tastschreibens erarbeiten</w:t>
            </w:r>
          </w:p>
          <w:p w:rsidR="000A1C2B" w:rsidRPr="000916EB" w:rsidRDefault="000A1C2B" w:rsidP="000916EB">
            <w:pPr>
              <w:spacing w:before="120" w:after="24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Einfache Texte nach vorgegebenen Sachverhalten unter Nutzung von Nachschlagwerken formulieren sowie maschinell und formgerecht gestalten</w:t>
            </w: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</w:p>
        </w:tc>
      </w:tr>
      <w:tr w:rsidR="000A1C2B" w:rsidRPr="000916EB" w:rsidTr="000916EB">
        <w:tc>
          <w:tcPr>
            <w:tcW w:w="3407" w:type="dxa"/>
          </w:tcPr>
          <w:p w:rsidR="000A1C2B" w:rsidRPr="000916EB" w:rsidRDefault="000A1C2B" w:rsidP="000916EB">
            <w:pPr>
              <w:spacing w:before="240" w:after="240"/>
              <w:jc w:val="left"/>
              <w:rPr>
                <w:sz w:val="20"/>
              </w:rPr>
            </w:pPr>
            <w:r w:rsidRPr="000916EB">
              <w:rPr>
                <w:sz w:val="20"/>
              </w:rPr>
              <w:t>Bürokommunikationstechniken</w:t>
            </w:r>
          </w:p>
        </w:tc>
        <w:tc>
          <w:tcPr>
            <w:tcW w:w="4771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Unterschiedliche behördliche Arbeitsaufgaben mit Hilfe von Bürokommunikationstechniken lösen</w:t>
            </w:r>
          </w:p>
          <w:p w:rsidR="000A1C2B" w:rsidRPr="000916EB" w:rsidRDefault="000A1C2B" w:rsidP="000916EB">
            <w:pPr>
              <w:spacing w:before="12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Auswirkungen von Bürokommunikationstechniken auf Arbeitsorganisation, Arbeitsbedingungen und Arbeitsanforderungen an Beispielen der Behörde abschätzen</w:t>
            </w:r>
          </w:p>
          <w:p w:rsidR="000A1C2B" w:rsidRPr="000916EB" w:rsidRDefault="000A1C2B" w:rsidP="000916EB">
            <w:pPr>
              <w:spacing w:before="12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Fachliteratur, Dokumentationen und andere Hilfsmittel nutzen</w:t>
            </w:r>
          </w:p>
          <w:p w:rsidR="000A1C2B" w:rsidRPr="000916EB" w:rsidRDefault="000A1C2B" w:rsidP="000916EB">
            <w:pPr>
              <w:spacing w:before="12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Daten sichern, Datensicherung begründen</w:t>
            </w:r>
          </w:p>
          <w:p w:rsidR="000A1C2B" w:rsidRPr="000916EB" w:rsidRDefault="000A1C2B" w:rsidP="000916EB">
            <w:pPr>
              <w:spacing w:before="120" w:after="24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Vorschriften und Richtlinien des Datenschutzes einhalten</w:t>
            </w: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</w:p>
        </w:tc>
      </w:tr>
      <w:tr w:rsidR="000A1C2B" w:rsidRPr="000916EB" w:rsidTr="000916EB">
        <w:tc>
          <w:tcPr>
            <w:tcW w:w="3407" w:type="dxa"/>
          </w:tcPr>
          <w:p w:rsidR="000A1C2B" w:rsidRPr="000916EB" w:rsidRDefault="000A1C2B" w:rsidP="000916EB">
            <w:pPr>
              <w:spacing w:before="240" w:after="240"/>
              <w:jc w:val="left"/>
              <w:rPr>
                <w:sz w:val="20"/>
              </w:rPr>
            </w:pPr>
            <w:r w:rsidRPr="000916EB">
              <w:rPr>
                <w:sz w:val="20"/>
              </w:rPr>
              <w:lastRenderedPageBreak/>
              <w:t>Kommunikation und Kooperation</w:t>
            </w:r>
          </w:p>
        </w:tc>
        <w:tc>
          <w:tcPr>
            <w:tcW w:w="4771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Mit Vorgesetzten und Bürger/-innen situationsgerecht kommunizieren</w:t>
            </w:r>
          </w:p>
          <w:p w:rsidR="000A1C2B" w:rsidRPr="000916EB" w:rsidRDefault="000A1C2B" w:rsidP="000916EB">
            <w:pPr>
              <w:spacing w:before="12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Telefongespräche entgegennehmen und weitervermitteln</w:t>
            </w:r>
          </w:p>
          <w:p w:rsidR="000A1C2B" w:rsidRPr="000916EB" w:rsidRDefault="000A1C2B" w:rsidP="000916EB">
            <w:pPr>
              <w:spacing w:before="120" w:after="24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Aufgaben teamorientiert bearbeiten</w:t>
            </w: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</w:p>
        </w:tc>
      </w:tr>
      <w:tr w:rsidR="000A1C2B" w:rsidRPr="000916EB" w:rsidTr="000916EB">
        <w:tc>
          <w:tcPr>
            <w:tcW w:w="3407" w:type="dxa"/>
          </w:tcPr>
          <w:p w:rsidR="000A1C2B" w:rsidRPr="000916EB" w:rsidRDefault="000A1C2B" w:rsidP="000916EB">
            <w:pPr>
              <w:spacing w:before="240" w:after="240"/>
              <w:jc w:val="left"/>
              <w:rPr>
                <w:sz w:val="20"/>
              </w:rPr>
            </w:pPr>
            <w:r w:rsidRPr="000916EB">
              <w:rPr>
                <w:sz w:val="20"/>
              </w:rPr>
              <w:t>Arbeitsschutz und –sicherheit</w:t>
            </w:r>
          </w:p>
        </w:tc>
        <w:tc>
          <w:tcPr>
            <w:tcW w:w="4771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Berufsbezogene Arbeitsschutz- und Unfallverhütungsvorschriften anwenden</w:t>
            </w:r>
          </w:p>
          <w:p w:rsidR="000A1C2B" w:rsidRPr="000916EB" w:rsidRDefault="000A1C2B" w:rsidP="000916EB">
            <w:pPr>
              <w:spacing w:before="12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Verhaltensweisen bei Unfällen beschreiben sowie erste Maßnahmen einleiten</w:t>
            </w:r>
          </w:p>
          <w:p w:rsidR="000A1C2B" w:rsidRPr="000916EB" w:rsidRDefault="000A1C2B" w:rsidP="000916EB">
            <w:pPr>
              <w:spacing w:before="120" w:after="24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Vorschriften des vorbeugenden Brandschutzes anwenden</w:t>
            </w: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</w:p>
        </w:tc>
      </w:tr>
      <w:tr w:rsidR="000A1C2B" w:rsidRPr="000916EB" w:rsidTr="000916EB">
        <w:tc>
          <w:tcPr>
            <w:tcW w:w="3407" w:type="dxa"/>
          </w:tcPr>
          <w:p w:rsidR="000A1C2B" w:rsidRPr="000916EB" w:rsidRDefault="000A1C2B" w:rsidP="000916EB">
            <w:pPr>
              <w:spacing w:before="240" w:after="240"/>
              <w:jc w:val="left"/>
              <w:rPr>
                <w:sz w:val="20"/>
              </w:rPr>
            </w:pPr>
            <w:r w:rsidRPr="000916EB">
              <w:rPr>
                <w:sz w:val="20"/>
              </w:rPr>
              <w:t>Umweltschutz</w:t>
            </w:r>
          </w:p>
        </w:tc>
        <w:tc>
          <w:tcPr>
            <w:tcW w:w="4771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Zur Vermeidung betriebsbedingter Umweltbelastungen im beruflichen Einwirkungsbereich beitragen, insbesondere für die Behörde geltende Regelungen des Umweltschutzes anwenden</w:t>
            </w:r>
          </w:p>
          <w:p w:rsidR="000A1C2B" w:rsidRPr="000916EB" w:rsidRDefault="000A1C2B" w:rsidP="000916EB">
            <w:pPr>
              <w:spacing w:before="12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Möglichkeiten der wirtschaftlichen und umweltschonenden Energie- und Materialverwendung nutzen</w:t>
            </w:r>
          </w:p>
          <w:p w:rsidR="000A1C2B" w:rsidRPr="000916EB" w:rsidRDefault="000A1C2B" w:rsidP="000916EB">
            <w:pPr>
              <w:spacing w:before="120" w:after="240"/>
              <w:ind w:left="176" w:hanging="142"/>
              <w:jc w:val="left"/>
              <w:rPr>
                <w:sz w:val="20"/>
              </w:rPr>
            </w:pPr>
            <w:r w:rsidRPr="000916EB">
              <w:rPr>
                <w:sz w:val="20"/>
              </w:rPr>
              <w:t>- Abfälle vermeiden, Stoffe und Materialien einer umweltschonenden Entsorgung zu führen</w:t>
            </w: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</w:p>
        </w:tc>
        <w:tc>
          <w:tcPr>
            <w:tcW w:w="3587" w:type="dxa"/>
          </w:tcPr>
          <w:p w:rsidR="000A1C2B" w:rsidRPr="000916EB" w:rsidRDefault="000A1C2B" w:rsidP="000916EB">
            <w:pPr>
              <w:spacing w:before="240"/>
              <w:ind w:left="176" w:hanging="142"/>
              <w:jc w:val="left"/>
              <w:rPr>
                <w:sz w:val="20"/>
              </w:rPr>
            </w:pPr>
          </w:p>
        </w:tc>
      </w:tr>
    </w:tbl>
    <w:p w:rsidR="00D677D9" w:rsidRPr="000A0D48" w:rsidRDefault="00D677D9" w:rsidP="000A0D48">
      <w:pPr>
        <w:jc w:val="left"/>
        <w:rPr>
          <w:sz w:val="20"/>
        </w:rPr>
      </w:pPr>
    </w:p>
    <w:sectPr w:rsidR="00D677D9" w:rsidRPr="000A0D48" w:rsidSect="000A1C2B">
      <w:footerReference w:type="default" r:id="rId7"/>
      <w:headerReference w:type="first" r:id="rId8"/>
      <w:footerReference w:type="first" r:id="rId9"/>
      <w:pgSz w:w="16838" w:h="11906" w:orient="landscape" w:code="9"/>
      <w:pgMar w:top="1418" w:right="851" w:bottom="1418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EB" w:rsidRDefault="000916EB">
      <w:r>
        <w:separator/>
      </w:r>
    </w:p>
  </w:endnote>
  <w:endnote w:type="continuationSeparator" w:id="0">
    <w:p w:rsidR="000916EB" w:rsidRDefault="0009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2B" w:rsidRDefault="000A1C2B">
    <w:pPr>
      <w:pStyle w:val="Fuzeile"/>
      <w:rPr>
        <w:snapToGrid w:val="0"/>
        <w:sz w:val="16"/>
      </w:rPr>
    </w:pPr>
    <w:r>
      <w:rPr>
        <w:snapToGrid w:val="0"/>
        <w:sz w:val="16"/>
      </w:rPr>
      <w:t>Internet-EQ-2008-Gliederung</w:t>
    </w:r>
  </w:p>
  <w:p w:rsidR="000A1C2B" w:rsidRDefault="000A1C2B" w:rsidP="000A1C2B">
    <w:pPr>
      <w:pStyle w:val="Fuzeile"/>
      <w:jc w:val="right"/>
      <w:rPr>
        <w:sz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8004A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2B" w:rsidRPr="000A1C2B" w:rsidRDefault="000A1C2B">
    <w:pPr>
      <w:pStyle w:val="Fuzeile"/>
      <w:rPr>
        <w:sz w:val="16"/>
        <w:szCs w:val="16"/>
      </w:rPr>
    </w:pPr>
    <w:r w:rsidRPr="000A1C2B">
      <w:rPr>
        <w:sz w:val="16"/>
        <w:szCs w:val="16"/>
      </w:rPr>
      <w:t>Internet-EQ-2008-Gliederung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EB" w:rsidRDefault="000916EB">
      <w:r>
        <w:separator/>
      </w:r>
    </w:p>
  </w:footnote>
  <w:footnote w:type="continuationSeparator" w:id="0">
    <w:p w:rsidR="000916EB" w:rsidRDefault="0009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31" w:rsidRPr="005A0B31" w:rsidRDefault="005A0B31">
    <w:pPr>
      <w:pStyle w:val="Kopfzeile"/>
      <w:rPr>
        <w:b/>
        <w:spacing w:val="60"/>
        <w:sz w:val="28"/>
        <w:szCs w:val="28"/>
        <w:u w:val="single"/>
      </w:rPr>
    </w:pPr>
    <w:r w:rsidRPr="005A0B31">
      <w:rPr>
        <w:b/>
        <w:spacing w:val="60"/>
        <w:sz w:val="28"/>
        <w:szCs w:val="28"/>
        <w:u w:val="single"/>
      </w:rPr>
      <w:t>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A6FA9"/>
    <w:multiLevelType w:val="hybridMultilevel"/>
    <w:tmpl w:val="2960A7E6"/>
    <w:lvl w:ilvl="0" w:tplc="19181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86B91"/>
    <w:multiLevelType w:val="singleLevel"/>
    <w:tmpl w:val="B9580826"/>
    <w:lvl w:ilvl="0">
      <w:start w:val="1"/>
      <w:numFmt w:val="lowerLetter"/>
      <w:pStyle w:val="Abschl-PrfungLsungen2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1B"/>
    <w:rsid w:val="00034F08"/>
    <w:rsid w:val="00044CF1"/>
    <w:rsid w:val="000916EB"/>
    <w:rsid w:val="000A0D48"/>
    <w:rsid w:val="000A1C2B"/>
    <w:rsid w:val="00182E1B"/>
    <w:rsid w:val="00257BA3"/>
    <w:rsid w:val="002A44AD"/>
    <w:rsid w:val="00435E43"/>
    <w:rsid w:val="004A5BC1"/>
    <w:rsid w:val="004B34C3"/>
    <w:rsid w:val="004D113C"/>
    <w:rsid w:val="0050527F"/>
    <w:rsid w:val="0058004A"/>
    <w:rsid w:val="005A0B31"/>
    <w:rsid w:val="00632651"/>
    <w:rsid w:val="007829DC"/>
    <w:rsid w:val="00783DB5"/>
    <w:rsid w:val="007A5426"/>
    <w:rsid w:val="008E4B5F"/>
    <w:rsid w:val="008E6CA4"/>
    <w:rsid w:val="009C676D"/>
    <w:rsid w:val="00A16AE7"/>
    <w:rsid w:val="00A17391"/>
    <w:rsid w:val="00B1207E"/>
    <w:rsid w:val="00B55A78"/>
    <w:rsid w:val="00B662E0"/>
    <w:rsid w:val="00C20C6D"/>
    <w:rsid w:val="00C32469"/>
    <w:rsid w:val="00C36FBF"/>
    <w:rsid w:val="00C3778E"/>
    <w:rsid w:val="00CE243E"/>
    <w:rsid w:val="00D16EC5"/>
    <w:rsid w:val="00D677D9"/>
    <w:rsid w:val="00D71FFD"/>
    <w:rsid w:val="00DB76E8"/>
    <w:rsid w:val="00E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FA981-794E-4634-AF5C-5E419E0C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  <w:outlineLvl w:val="0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22"/>
        <w:tab w:val="right" w:pos="9639"/>
      </w:tabs>
      <w:ind w:right="3402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chl-Prfung1">
    <w:name w:val="Abschl.-Prüfung 1"/>
    <w:basedOn w:val="VFW-Teilpr"/>
    <w:pPr>
      <w:ind w:right="1417"/>
      <w:outlineLvl w:val="9"/>
    </w:pPr>
    <w:rPr>
      <w:rFonts w:ascii="Arial" w:hAnsi="Arial"/>
      <w:snapToGrid w:val="0"/>
    </w:rPr>
  </w:style>
  <w:style w:type="paragraph" w:customStyle="1" w:styleId="Aufgabenberschrift">
    <w:name w:val="Aufgabenüberschrift"/>
    <w:basedOn w:val="Abschl-Prfung1"/>
    <w:rPr>
      <w:b/>
      <w:color w:val="000000"/>
      <w:u w:val="single"/>
    </w:rPr>
  </w:style>
  <w:style w:type="paragraph" w:customStyle="1" w:styleId="Abschl-Prfung2">
    <w:name w:val="Abschl.-Prüfung 2"/>
    <w:basedOn w:val="Abschl-Prfung1"/>
    <w:pPr>
      <w:ind w:left="284" w:right="2835" w:hanging="284"/>
    </w:pPr>
    <w:rPr>
      <w:color w:val="000000"/>
    </w:rPr>
  </w:style>
  <w:style w:type="paragraph" w:customStyle="1" w:styleId="Abschl-PrfungLsungen1">
    <w:name w:val="Abschl.-Prüfung Lösungen 1"/>
    <w:basedOn w:val="Abschl-Prfung1"/>
    <w:pPr>
      <w:ind w:right="851"/>
    </w:pPr>
    <w:rPr>
      <w:sz w:val="22"/>
    </w:rPr>
  </w:style>
  <w:style w:type="paragraph" w:customStyle="1" w:styleId="Abschl-PrfungLsungen2">
    <w:name w:val="Abschl.-Prüfung Lösungen 2"/>
    <w:basedOn w:val="Abschl-PrfungLsungen1"/>
    <w:pPr>
      <w:numPr>
        <w:numId w:val="1"/>
      </w:numPr>
      <w:ind w:left="357" w:right="2835" w:hanging="357"/>
    </w:pPr>
    <w:rPr>
      <w:color w:val="000000"/>
    </w:rPr>
  </w:style>
  <w:style w:type="table" w:customStyle="1" w:styleId="Tabellengitternetz">
    <w:name w:val="Tabellengitternetz"/>
    <w:basedOn w:val="NormaleTabelle"/>
    <w:rsid w:val="00D677D9"/>
    <w:pPr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34F08"/>
    <w:rPr>
      <w:rFonts w:cs="Tahoma"/>
      <w:sz w:val="16"/>
      <w:szCs w:val="16"/>
    </w:rPr>
  </w:style>
  <w:style w:type="character" w:styleId="Seitenzahl">
    <w:name w:val="page number"/>
    <w:basedOn w:val="Absatz-Standardschriftart"/>
    <w:rsid w:val="000A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1: Inhaltliche Gliederung für eine Einstiegsqualifizierung im Bereich „Verwaltung“</vt:lpstr>
    </vt:vector>
  </TitlesOfParts>
  <Company>Regierungspräsidium Giessen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1: Inhaltliche Gliederung für eine Einstiegsqualifizierung im Bereich „Verwaltung“</dc:title>
  <dc:subject/>
  <dc:creator>Jost</dc:creator>
  <cp:keywords/>
  <cp:lastModifiedBy>Antmansky, Lisa-Marie (RPGI)</cp:lastModifiedBy>
  <cp:revision>2</cp:revision>
  <cp:lastPrinted>2008-09-08T06:54:00Z</cp:lastPrinted>
  <dcterms:created xsi:type="dcterms:W3CDTF">2021-12-22T10:25:00Z</dcterms:created>
  <dcterms:modified xsi:type="dcterms:W3CDTF">2021-12-22T10:25:00Z</dcterms:modified>
</cp:coreProperties>
</file>